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724" w:rsidRPr="008B5724" w:rsidRDefault="008B5724" w:rsidP="008B5724">
      <w:pPr>
        <w:jc w:val="center"/>
        <w:rPr>
          <w:rFonts w:ascii="ＭＳ 明朝" w:eastAsia="ＭＳ 明朝" w:hAnsi="ＭＳ 明朝"/>
          <w:b/>
          <w:sz w:val="24"/>
          <w:szCs w:val="24"/>
          <w:u w:val="single"/>
        </w:rPr>
      </w:pPr>
      <w:r w:rsidRPr="008B5724">
        <w:rPr>
          <w:rFonts w:ascii="ＭＳ 明朝" w:eastAsia="ＭＳ 明朝" w:hAnsi="ＭＳ 明朝"/>
          <w:b/>
          <w:sz w:val="24"/>
          <w:szCs w:val="24"/>
          <w:u w:val="single"/>
        </w:rPr>
        <w:t>「流動性その他の事情を勘案して内閣府令で定めるもの」についての</w:t>
      </w:r>
      <w:r w:rsidR="00962BC0">
        <w:rPr>
          <w:rFonts w:ascii="ＭＳ 明朝" w:eastAsia="ＭＳ 明朝" w:hAnsi="ＭＳ 明朝" w:hint="eastAsia"/>
          <w:b/>
          <w:sz w:val="24"/>
          <w:szCs w:val="24"/>
          <w:u w:val="single"/>
        </w:rPr>
        <w:t>一</w:t>
      </w:r>
      <w:bookmarkStart w:id="0" w:name="_GoBack"/>
      <w:bookmarkEnd w:id="0"/>
      <w:r w:rsidRPr="008B5724">
        <w:rPr>
          <w:rFonts w:ascii="ＭＳ 明朝" w:eastAsia="ＭＳ 明朝" w:hAnsi="ＭＳ 明朝" w:hint="eastAsia"/>
          <w:b/>
          <w:sz w:val="24"/>
          <w:szCs w:val="24"/>
          <w:u w:val="single"/>
        </w:rPr>
        <w:t>案</w:t>
      </w:r>
    </w:p>
    <w:p w:rsidR="008B5724" w:rsidRDefault="008B5724" w:rsidP="008B5724">
      <w:pPr>
        <w:rPr>
          <w:rFonts w:ascii="ＭＳ 明朝" w:eastAsia="ＭＳ 明朝" w:hAnsi="ＭＳ 明朝"/>
          <w:sz w:val="21"/>
          <w:szCs w:val="21"/>
        </w:rPr>
      </w:pPr>
    </w:p>
    <w:p w:rsidR="00777500" w:rsidRDefault="00777500" w:rsidP="008B5724">
      <w:pPr>
        <w:rPr>
          <w:rFonts w:ascii="ＭＳ 明朝" w:eastAsia="ＭＳ 明朝" w:hAnsi="ＭＳ 明朝"/>
          <w:sz w:val="21"/>
          <w:szCs w:val="21"/>
        </w:rPr>
      </w:pPr>
    </w:p>
    <w:p w:rsidR="00D75102" w:rsidRPr="007A33BA" w:rsidRDefault="009615B6" w:rsidP="00D75102">
      <w:pPr>
        <w:pStyle w:val="a3"/>
        <w:numPr>
          <w:ilvl w:val="0"/>
          <w:numId w:val="3"/>
        </w:numPr>
        <w:tabs>
          <w:tab w:val="left" w:pos="426"/>
        </w:tabs>
        <w:ind w:leftChars="0"/>
        <w:rPr>
          <w:rFonts w:ascii="ＭＳ 明朝" w:eastAsia="ＭＳ 明朝" w:hAnsi="ＭＳ 明朝"/>
          <w:sz w:val="21"/>
          <w:szCs w:val="21"/>
        </w:rPr>
      </w:pPr>
      <w:r w:rsidRPr="007A33BA">
        <w:rPr>
          <w:rFonts w:ascii="ＭＳ 明朝" w:eastAsia="ＭＳ 明朝" w:hAnsi="ＭＳ 明朝" w:hint="eastAsia"/>
          <w:sz w:val="21"/>
          <w:szCs w:val="21"/>
        </w:rPr>
        <w:t>法的</w:t>
      </w:r>
      <w:r w:rsidR="0015227A" w:rsidRPr="007A33BA">
        <w:rPr>
          <w:rFonts w:ascii="ＭＳ 明朝" w:eastAsia="ＭＳ 明朝" w:hAnsi="ＭＳ 明朝" w:hint="eastAsia"/>
          <w:sz w:val="21"/>
          <w:szCs w:val="21"/>
        </w:rPr>
        <w:t>かつ技術的</w:t>
      </w:r>
      <w:r w:rsidRPr="007A33BA">
        <w:rPr>
          <w:rFonts w:ascii="ＭＳ 明朝" w:eastAsia="ＭＳ 明朝" w:hAnsi="ＭＳ 明朝" w:hint="eastAsia"/>
          <w:sz w:val="21"/>
          <w:szCs w:val="21"/>
        </w:rPr>
        <w:t>に、</w:t>
      </w:r>
      <w:r w:rsidR="00D75102" w:rsidRPr="007A33BA">
        <w:rPr>
          <w:rFonts w:ascii="ＭＳ 明朝" w:eastAsia="ＭＳ 明朝" w:hAnsi="ＭＳ 明朝"/>
          <w:sz w:val="21"/>
          <w:szCs w:val="21"/>
        </w:rPr>
        <w:t>譲渡に対して発行体の承認を要す</w:t>
      </w:r>
      <w:r w:rsidRPr="007A33BA">
        <w:rPr>
          <w:rFonts w:ascii="ＭＳ 明朝" w:eastAsia="ＭＳ 明朝" w:hAnsi="ＭＳ 明朝" w:hint="eastAsia"/>
          <w:sz w:val="21"/>
          <w:szCs w:val="21"/>
        </w:rPr>
        <w:t>る</w:t>
      </w:r>
      <w:r w:rsidR="00C85299" w:rsidRPr="007A33BA">
        <w:rPr>
          <w:rFonts w:ascii="ＭＳ 明朝" w:eastAsia="ＭＳ 明朝" w:hAnsi="ＭＳ 明朝" w:hint="eastAsia"/>
          <w:sz w:val="21"/>
          <w:szCs w:val="21"/>
        </w:rPr>
        <w:t>旨の譲渡制限が付されており</w:t>
      </w:r>
      <w:r w:rsidRPr="007A33BA">
        <w:rPr>
          <w:rFonts w:ascii="ＭＳ 明朝" w:eastAsia="ＭＳ 明朝" w:hAnsi="ＭＳ 明朝" w:hint="eastAsia"/>
          <w:sz w:val="21"/>
          <w:szCs w:val="21"/>
        </w:rPr>
        <w:t>、かつ、対抗要件</w:t>
      </w:r>
      <w:r w:rsidR="00C85299" w:rsidRPr="007A33BA">
        <w:rPr>
          <w:rFonts w:ascii="ＭＳ 明朝" w:eastAsia="ＭＳ 明朝" w:hAnsi="ＭＳ 明朝" w:hint="eastAsia"/>
          <w:sz w:val="21"/>
          <w:szCs w:val="21"/>
        </w:rPr>
        <w:t>（債務者対抗要件・第三者対抗要件）</w:t>
      </w:r>
      <w:r w:rsidRPr="007A33BA">
        <w:rPr>
          <w:rFonts w:ascii="ＭＳ 明朝" w:eastAsia="ＭＳ 明朝" w:hAnsi="ＭＳ 明朝" w:hint="eastAsia"/>
          <w:sz w:val="21"/>
          <w:szCs w:val="21"/>
        </w:rPr>
        <w:t>を要する</w:t>
      </w:r>
      <w:r w:rsidR="00D75102" w:rsidRPr="007A33BA">
        <w:rPr>
          <w:rFonts w:ascii="ＭＳ 明朝" w:eastAsia="ＭＳ 明朝" w:hAnsi="ＭＳ 明朝"/>
          <w:sz w:val="21"/>
          <w:szCs w:val="21"/>
        </w:rPr>
        <w:t>場合</w:t>
      </w:r>
      <w:r w:rsidR="0015227A" w:rsidRPr="007A33BA">
        <w:rPr>
          <w:rFonts w:ascii="ＭＳ 明朝" w:eastAsia="ＭＳ 明朝" w:hAnsi="ＭＳ 明朝" w:hint="eastAsia"/>
          <w:sz w:val="21"/>
          <w:szCs w:val="21"/>
        </w:rPr>
        <w:br/>
        <w:t>但し、複数の譲渡に対する包括的な事前承認や無限定な自動的承認がなされるものを除く。</w:t>
      </w:r>
      <w:r w:rsidR="004468BF" w:rsidRPr="007A33BA">
        <w:rPr>
          <w:rFonts w:ascii="ＭＳ 明朝" w:eastAsia="ＭＳ 明朝" w:hAnsi="ＭＳ 明朝" w:hint="eastAsia"/>
          <w:sz w:val="21"/>
          <w:szCs w:val="21"/>
        </w:rPr>
        <w:br/>
      </w:r>
    </w:p>
    <w:p w:rsidR="00453384" w:rsidRPr="005D09AD" w:rsidRDefault="00B66CDF" w:rsidP="005D09AD">
      <w:pPr>
        <w:pStyle w:val="a3"/>
        <w:numPr>
          <w:ilvl w:val="0"/>
          <w:numId w:val="3"/>
        </w:numPr>
        <w:tabs>
          <w:tab w:val="left" w:pos="426"/>
        </w:tabs>
        <w:ind w:leftChars="0"/>
        <w:rPr>
          <w:rFonts w:ascii="ＭＳ 明朝" w:eastAsia="ＭＳ 明朝" w:hAnsi="ＭＳ 明朝"/>
          <w:sz w:val="21"/>
          <w:szCs w:val="21"/>
        </w:rPr>
      </w:pPr>
      <w:r w:rsidRPr="005D09AD">
        <w:rPr>
          <w:rFonts w:ascii="ＭＳ 明朝" w:eastAsia="ＭＳ 明朝" w:hAnsi="ＭＳ 明朝" w:hint="eastAsia"/>
          <w:sz w:val="21"/>
          <w:szCs w:val="21"/>
        </w:rPr>
        <w:t>権利者の</w:t>
      </w:r>
      <w:r w:rsidR="00241F54">
        <w:rPr>
          <w:rFonts w:ascii="ＭＳ 明朝" w:eastAsia="ＭＳ 明朝" w:hAnsi="ＭＳ 明朝" w:hint="eastAsia"/>
          <w:sz w:val="21"/>
          <w:szCs w:val="21"/>
        </w:rPr>
        <w:t>人</w:t>
      </w:r>
      <w:r w:rsidRPr="005D09AD">
        <w:rPr>
          <w:rFonts w:ascii="ＭＳ 明朝" w:eastAsia="ＭＳ 明朝" w:hAnsi="ＭＳ 明朝" w:hint="eastAsia"/>
          <w:sz w:val="21"/>
          <w:szCs w:val="21"/>
        </w:rPr>
        <w:t>数が［500］人未満となる場合</w:t>
      </w:r>
      <w:r w:rsidR="004468BF">
        <w:rPr>
          <w:rFonts w:ascii="ＭＳ 明朝" w:eastAsia="ＭＳ 明朝" w:hAnsi="ＭＳ 明朝" w:hint="eastAsia"/>
          <w:sz w:val="21"/>
          <w:szCs w:val="21"/>
        </w:rPr>
        <w:t>（法的のみならず技術的にもかかる制限が設けられている場合に限る。）</w:t>
      </w:r>
    </w:p>
    <w:p w:rsidR="00777500" w:rsidRDefault="00777500" w:rsidP="00777500">
      <w:pPr>
        <w:pStyle w:val="a3"/>
        <w:ind w:leftChars="0" w:left="360"/>
        <w:rPr>
          <w:rFonts w:ascii="ＭＳ 明朝" w:eastAsia="ＭＳ 明朝" w:hAnsi="ＭＳ 明朝"/>
          <w:sz w:val="21"/>
          <w:szCs w:val="21"/>
        </w:rPr>
      </w:pPr>
      <w:r>
        <w:rPr>
          <w:rFonts w:ascii="ＭＳ 明朝" w:eastAsia="ＭＳ 明朝" w:hAnsi="ＭＳ 明朝" w:hint="eastAsia"/>
          <w:sz w:val="21"/>
          <w:szCs w:val="21"/>
        </w:rPr>
        <w:t>←2項有価証券</w:t>
      </w:r>
      <w:r w:rsidR="0017311D">
        <w:rPr>
          <w:rFonts w:ascii="ＭＳ 明朝" w:eastAsia="ＭＳ 明朝" w:hAnsi="ＭＳ 明朝" w:hint="eastAsia"/>
          <w:sz w:val="21"/>
          <w:szCs w:val="21"/>
        </w:rPr>
        <w:t>の私募要件</w:t>
      </w:r>
      <w:r w:rsidR="004468BF">
        <w:rPr>
          <w:rFonts w:ascii="ＭＳ 明朝" w:eastAsia="ＭＳ 明朝" w:hAnsi="ＭＳ 明朝" w:hint="eastAsia"/>
          <w:sz w:val="21"/>
          <w:szCs w:val="21"/>
        </w:rPr>
        <w:t>＋技術的制限</w:t>
      </w:r>
    </w:p>
    <w:p w:rsidR="0017311D" w:rsidRPr="00B66CDF" w:rsidRDefault="0017311D" w:rsidP="00777500">
      <w:pPr>
        <w:pStyle w:val="a3"/>
        <w:ind w:leftChars="0" w:left="360"/>
        <w:rPr>
          <w:rFonts w:ascii="ＭＳ 明朝" w:eastAsia="ＭＳ 明朝" w:hAnsi="ＭＳ 明朝"/>
          <w:sz w:val="21"/>
          <w:szCs w:val="21"/>
          <w:lang w:eastAsia="ja"/>
        </w:rPr>
      </w:pPr>
    </w:p>
    <w:p w:rsidR="00B66CDF" w:rsidRPr="005D09AD" w:rsidRDefault="0017311D" w:rsidP="005D09AD">
      <w:pPr>
        <w:pStyle w:val="a3"/>
        <w:numPr>
          <w:ilvl w:val="0"/>
          <w:numId w:val="3"/>
        </w:numPr>
        <w:ind w:leftChars="0"/>
        <w:rPr>
          <w:rFonts w:ascii="ＭＳ 明朝" w:eastAsia="ＭＳ 明朝" w:hAnsi="ＭＳ 明朝"/>
          <w:sz w:val="21"/>
          <w:szCs w:val="21"/>
        </w:rPr>
      </w:pPr>
      <w:r w:rsidRPr="005D09AD">
        <w:rPr>
          <w:rFonts w:ascii="ＭＳ 明朝" w:eastAsia="ＭＳ 明朝" w:hAnsi="ＭＳ 明朝" w:hint="eastAsia"/>
          <w:sz w:val="21"/>
          <w:szCs w:val="21"/>
        </w:rPr>
        <w:t>権利者が</w:t>
      </w:r>
      <w:r w:rsidR="00BF58E1" w:rsidRPr="005D09AD">
        <w:rPr>
          <w:rFonts w:ascii="ＭＳ 明朝" w:eastAsia="ＭＳ 明朝" w:hAnsi="ＭＳ 明朝" w:hint="eastAsia"/>
          <w:sz w:val="21"/>
          <w:szCs w:val="21"/>
        </w:rPr>
        <w:t>特定投資家のみである場合</w:t>
      </w:r>
    </w:p>
    <w:p w:rsidR="00BF58E1" w:rsidRDefault="004B18B2" w:rsidP="00BF58E1">
      <w:pPr>
        <w:pStyle w:val="a3"/>
        <w:ind w:leftChars="0" w:left="360"/>
        <w:rPr>
          <w:rFonts w:ascii="ＭＳ 明朝" w:eastAsia="ＭＳ 明朝" w:hAnsi="ＭＳ 明朝"/>
          <w:sz w:val="21"/>
          <w:szCs w:val="21"/>
        </w:rPr>
      </w:pPr>
      <w:r>
        <w:rPr>
          <w:rFonts w:ascii="ＭＳ 明朝" w:eastAsia="ＭＳ 明朝" w:hAnsi="ＭＳ 明朝" w:hint="eastAsia"/>
          <w:sz w:val="21"/>
          <w:szCs w:val="21"/>
        </w:rPr>
        <w:t>←</w:t>
      </w:r>
      <w:r w:rsidR="00050B61">
        <w:rPr>
          <w:rFonts w:ascii="ＭＳ 明朝" w:eastAsia="ＭＳ 明朝" w:hAnsi="ＭＳ 明朝" w:hint="eastAsia"/>
          <w:sz w:val="21"/>
          <w:szCs w:val="21"/>
        </w:rPr>
        <w:t>純資産又は投資性金融資産が3億円以上（かつ</w:t>
      </w:r>
      <w:r w:rsidR="00831531">
        <w:rPr>
          <w:rFonts w:ascii="ＭＳ 明朝" w:eastAsia="ＭＳ 明朝" w:hAnsi="ＭＳ 明朝" w:hint="eastAsia"/>
          <w:sz w:val="21"/>
          <w:szCs w:val="21"/>
        </w:rPr>
        <w:t>証券口座開設後1年以上経過）</w:t>
      </w:r>
      <w:r w:rsidR="00050B61">
        <w:rPr>
          <w:rFonts w:ascii="ＭＳ 明朝" w:eastAsia="ＭＳ 明朝" w:hAnsi="ＭＳ 明朝" w:hint="eastAsia"/>
          <w:sz w:val="21"/>
          <w:szCs w:val="21"/>
        </w:rPr>
        <w:t>の個人</w:t>
      </w:r>
      <w:r w:rsidR="00831531">
        <w:rPr>
          <w:rFonts w:ascii="ＭＳ 明朝" w:eastAsia="ＭＳ 明朝" w:hAnsi="ＭＳ 明朝" w:hint="eastAsia"/>
          <w:sz w:val="21"/>
          <w:szCs w:val="21"/>
        </w:rPr>
        <w:t>など</w:t>
      </w:r>
    </w:p>
    <w:p w:rsidR="00831531" w:rsidRDefault="00831531" w:rsidP="00BF58E1">
      <w:pPr>
        <w:pStyle w:val="a3"/>
        <w:ind w:leftChars="0" w:left="360"/>
        <w:rPr>
          <w:rFonts w:ascii="ＭＳ 明朝" w:eastAsia="ＭＳ 明朝" w:hAnsi="ＭＳ 明朝"/>
          <w:sz w:val="21"/>
          <w:szCs w:val="21"/>
          <w:lang w:eastAsia="ja"/>
        </w:rPr>
      </w:pPr>
    </w:p>
    <w:p w:rsidR="005D09AD" w:rsidRDefault="005D09AD" w:rsidP="005D09AD">
      <w:pPr>
        <w:pStyle w:val="a3"/>
        <w:numPr>
          <w:ilvl w:val="0"/>
          <w:numId w:val="3"/>
        </w:numPr>
        <w:ind w:leftChars="0"/>
        <w:rPr>
          <w:rFonts w:ascii="ＭＳ 明朝" w:eastAsia="ＭＳ 明朝" w:hAnsi="ＭＳ 明朝"/>
          <w:sz w:val="21"/>
          <w:szCs w:val="21"/>
          <w:lang w:eastAsia="ja"/>
        </w:rPr>
      </w:pPr>
      <w:r>
        <w:rPr>
          <w:rFonts w:ascii="ＭＳ 明朝" w:eastAsia="ＭＳ 明朝" w:hAnsi="ＭＳ 明朝" w:hint="eastAsia"/>
          <w:sz w:val="21"/>
          <w:szCs w:val="21"/>
          <w:lang w:eastAsia="ja"/>
        </w:rPr>
        <w:t>権利者が「登録投資家」のみである場合</w:t>
      </w:r>
    </w:p>
    <w:p w:rsidR="005D09AD" w:rsidRDefault="005D09AD" w:rsidP="005D09AD">
      <w:pPr>
        <w:pStyle w:val="a3"/>
        <w:ind w:leftChars="0" w:left="360"/>
        <w:rPr>
          <w:rFonts w:ascii="ＭＳ 明朝" w:eastAsia="ＭＳ 明朝" w:hAnsi="ＭＳ 明朝"/>
          <w:sz w:val="21"/>
          <w:szCs w:val="21"/>
          <w:lang w:eastAsia="ja"/>
        </w:rPr>
      </w:pPr>
      <w:r>
        <w:rPr>
          <w:rFonts w:ascii="ＭＳ 明朝" w:eastAsia="ＭＳ 明朝" w:hAnsi="ＭＳ 明朝" w:hint="eastAsia"/>
          <w:sz w:val="21"/>
          <w:szCs w:val="21"/>
          <w:lang w:eastAsia="ja"/>
        </w:rPr>
        <w:t>←</w:t>
      </w:r>
      <w:r w:rsidR="00561752">
        <w:rPr>
          <w:rFonts w:ascii="ＭＳ 明朝" w:eastAsia="ＭＳ 明朝" w:hAnsi="ＭＳ 明朝" w:hint="eastAsia"/>
          <w:sz w:val="21"/>
          <w:szCs w:val="21"/>
          <w:lang w:eastAsia="ja"/>
        </w:rPr>
        <w:t>アメリカのRegD</w:t>
      </w:r>
      <w:r w:rsidR="00936D3F">
        <w:rPr>
          <w:rStyle w:val="a6"/>
          <w:rFonts w:ascii="ＭＳ 明朝" w:eastAsia="ＭＳ 明朝" w:hAnsi="ＭＳ 明朝"/>
          <w:sz w:val="21"/>
          <w:szCs w:val="21"/>
          <w:lang w:eastAsia="ja"/>
        </w:rPr>
        <w:footnoteReference w:id="1"/>
      </w:r>
      <w:r w:rsidR="00561752">
        <w:rPr>
          <w:rFonts w:ascii="ＭＳ 明朝" w:eastAsia="ＭＳ 明朝" w:hAnsi="ＭＳ 明朝" w:hint="eastAsia"/>
          <w:sz w:val="21"/>
          <w:szCs w:val="21"/>
          <w:lang w:eastAsia="ja"/>
        </w:rPr>
        <w:t>に相当するような</w:t>
      </w:r>
      <w:r>
        <w:rPr>
          <w:rFonts w:ascii="ＭＳ 明朝" w:eastAsia="ＭＳ 明朝" w:hAnsi="ＭＳ 明朝" w:hint="eastAsia"/>
          <w:sz w:val="21"/>
          <w:szCs w:val="21"/>
          <w:lang w:eastAsia="ja"/>
        </w:rPr>
        <w:t>「登録投資家」</w:t>
      </w:r>
      <w:r w:rsidR="00484E85">
        <w:rPr>
          <w:rFonts w:ascii="ＭＳ 明朝" w:eastAsia="ＭＳ 明朝" w:hAnsi="ＭＳ 明朝" w:hint="eastAsia"/>
          <w:sz w:val="21"/>
          <w:szCs w:val="21"/>
          <w:lang w:eastAsia="ja"/>
        </w:rPr>
        <w:t>などの</w:t>
      </w:r>
      <w:r>
        <w:rPr>
          <w:rFonts w:ascii="ＭＳ 明朝" w:eastAsia="ＭＳ 明朝" w:hAnsi="ＭＳ 明朝" w:hint="eastAsia"/>
          <w:sz w:val="21"/>
          <w:szCs w:val="21"/>
          <w:lang w:eastAsia="ja"/>
        </w:rPr>
        <w:t>新たなカテゴリーを創設</w:t>
      </w:r>
    </w:p>
    <w:p w:rsidR="005D09AD" w:rsidRPr="005D09AD" w:rsidRDefault="005D09AD" w:rsidP="005D09AD">
      <w:pPr>
        <w:pStyle w:val="a3"/>
        <w:ind w:leftChars="0" w:left="360"/>
        <w:rPr>
          <w:rFonts w:ascii="ＭＳ 明朝" w:eastAsia="ＭＳ 明朝" w:hAnsi="ＭＳ 明朝"/>
          <w:sz w:val="21"/>
          <w:szCs w:val="21"/>
          <w:lang w:eastAsia="ja"/>
        </w:rPr>
      </w:pPr>
    </w:p>
    <w:p w:rsidR="00E635E5" w:rsidRDefault="00E635E5" w:rsidP="00241F54">
      <w:pPr>
        <w:pStyle w:val="a3"/>
        <w:numPr>
          <w:ilvl w:val="0"/>
          <w:numId w:val="3"/>
        </w:numPr>
        <w:ind w:leftChars="0"/>
        <w:rPr>
          <w:rFonts w:ascii="ＭＳ 明朝" w:eastAsia="ＭＳ 明朝" w:hAnsi="ＭＳ 明朝"/>
          <w:sz w:val="21"/>
          <w:szCs w:val="21"/>
          <w:lang w:eastAsia="ja"/>
        </w:rPr>
      </w:pPr>
      <w:r>
        <w:rPr>
          <w:rFonts w:ascii="ＭＳ 明朝" w:eastAsia="ＭＳ 明朝" w:hAnsi="ＭＳ 明朝" w:hint="eastAsia"/>
          <w:sz w:val="21"/>
          <w:szCs w:val="21"/>
          <w:lang w:eastAsia="ja"/>
        </w:rPr>
        <w:t>権利者が特定の者</w:t>
      </w:r>
      <w:r w:rsidR="005E1D21">
        <w:rPr>
          <w:rFonts w:ascii="ＭＳ 明朝" w:eastAsia="ＭＳ 明朝" w:hAnsi="ＭＳ 明朝" w:hint="eastAsia"/>
          <w:sz w:val="21"/>
          <w:szCs w:val="21"/>
          <w:lang w:eastAsia="ja"/>
        </w:rPr>
        <w:t>に限られる</w:t>
      </w:r>
      <w:r>
        <w:rPr>
          <w:rFonts w:ascii="ＭＳ 明朝" w:eastAsia="ＭＳ 明朝" w:hAnsi="ＭＳ 明朝" w:hint="eastAsia"/>
          <w:sz w:val="21"/>
          <w:szCs w:val="21"/>
          <w:lang w:eastAsia="ja"/>
        </w:rPr>
        <w:t>場合</w:t>
      </w:r>
    </w:p>
    <w:p w:rsidR="00BF58E1" w:rsidRDefault="00E635E5" w:rsidP="00E635E5">
      <w:pPr>
        <w:ind w:left="360"/>
        <w:rPr>
          <w:rFonts w:ascii="ＭＳ 明朝" w:eastAsia="ＭＳ 明朝" w:hAnsi="ＭＳ 明朝"/>
          <w:sz w:val="21"/>
          <w:szCs w:val="21"/>
        </w:rPr>
      </w:pPr>
      <w:r>
        <w:rPr>
          <w:rFonts w:ascii="ＭＳ 明朝" w:eastAsia="ＭＳ 明朝" w:hAnsi="ＭＳ 明朝" w:hint="eastAsia"/>
          <w:sz w:val="21"/>
          <w:szCs w:val="21"/>
          <w:lang w:eastAsia="ja"/>
        </w:rPr>
        <w:t>←</w:t>
      </w:r>
      <w:r w:rsidRPr="00E635E5">
        <w:rPr>
          <w:rFonts w:ascii="ＭＳ 明朝" w:eastAsia="ＭＳ 明朝" w:hAnsi="ＭＳ 明朝" w:hint="eastAsia"/>
          <w:sz w:val="21"/>
          <w:szCs w:val="21"/>
          <w:lang w:eastAsia="ja"/>
        </w:rPr>
        <w:t>例えば、</w:t>
      </w:r>
      <w:r w:rsidRPr="00E635E5">
        <w:rPr>
          <w:rFonts w:ascii="ＭＳ 明朝" w:eastAsia="ＭＳ 明朝" w:hAnsi="ＭＳ 明朝" w:hint="eastAsia"/>
          <w:sz w:val="21"/>
          <w:szCs w:val="21"/>
        </w:rPr>
        <w:t>発行体が付与するウォレットでしかトークンを取得・保有できないとする場合</w:t>
      </w:r>
      <w:r w:rsidR="00901B0D">
        <w:rPr>
          <w:rStyle w:val="a6"/>
          <w:rFonts w:ascii="ＭＳ 明朝" w:eastAsia="ＭＳ 明朝" w:hAnsi="ＭＳ 明朝"/>
          <w:sz w:val="21"/>
          <w:szCs w:val="21"/>
        </w:rPr>
        <w:footnoteReference w:id="2"/>
      </w:r>
      <w:r>
        <w:rPr>
          <w:rFonts w:ascii="ＭＳ 明朝" w:eastAsia="ＭＳ 明朝" w:hAnsi="ＭＳ 明朝" w:hint="eastAsia"/>
          <w:sz w:val="21"/>
          <w:szCs w:val="21"/>
        </w:rPr>
        <w:t>（この場合、ウォレットを付与する段階で</w:t>
      </w:r>
      <w:r w:rsidR="00901B0D">
        <w:rPr>
          <w:rFonts w:ascii="ＭＳ 明朝" w:eastAsia="ＭＳ 明朝" w:hAnsi="ＭＳ 明朝" w:hint="eastAsia"/>
          <w:sz w:val="21"/>
          <w:szCs w:val="21"/>
        </w:rPr>
        <w:t>本人確認手続き等が行われることを想定</w:t>
      </w:r>
      <w:r w:rsidRPr="00E635E5">
        <w:rPr>
          <w:rFonts w:ascii="ＭＳ 明朝" w:eastAsia="ＭＳ 明朝" w:hAnsi="ＭＳ 明朝" w:hint="eastAsia"/>
          <w:sz w:val="21"/>
          <w:szCs w:val="21"/>
        </w:rPr>
        <w:t>）</w:t>
      </w:r>
    </w:p>
    <w:p w:rsidR="000152AA" w:rsidRDefault="000152AA" w:rsidP="000152AA">
      <w:pPr>
        <w:rPr>
          <w:rFonts w:ascii="ＭＳ 明朝" w:eastAsia="ＭＳ 明朝" w:hAnsi="ＭＳ 明朝"/>
          <w:sz w:val="21"/>
          <w:szCs w:val="21"/>
          <w:lang w:eastAsia="ja"/>
        </w:rPr>
      </w:pPr>
    </w:p>
    <w:p w:rsidR="004468BF" w:rsidRDefault="00687F69" w:rsidP="000152AA">
      <w:pPr>
        <w:rPr>
          <w:rFonts w:ascii="ＭＳ 明朝" w:eastAsia="ＭＳ 明朝" w:hAnsi="ＭＳ 明朝" w:hint="eastAsia"/>
          <w:sz w:val="21"/>
          <w:szCs w:val="21"/>
          <w:lang w:eastAsia="ja"/>
        </w:rPr>
      </w:pPr>
      <w:r>
        <w:rPr>
          <w:rFonts w:ascii="ＭＳ 明朝" w:eastAsia="ＭＳ 明朝" w:hAnsi="ＭＳ 明朝" w:hint="eastAsia"/>
          <w:sz w:val="21"/>
          <w:szCs w:val="21"/>
          <w:lang w:eastAsia="ja"/>
        </w:rPr>
        <w:t>※上記(1)乃至(5)のうち複数の</w:t>
      </w:r>
      <w:r w:rsidR="00A4691F">
        <w:rPr>
          <w:rFonts w:ascii="ＭＳ 明朝" w:eastAsia="ＭＳ 明朝" w:hAnsi="ＭＳ 明朝" w:hint="eastAsia"/>
          <w:sz w:val="21"/>
          <w:szCs w:val="21"/>
          <w:lang w:eastAsia="ja"/>
        </w:rPr>
        <w:t>条件</w:t>
      </w:r>
      <w:r>
        <w:rPr>
          <w:rFonts w:ascii="ＭＳ 明朝" w:eastAsia="ＭＳ 明朝" w:hAnsi="ＭＳ 明朝" w:hint="eastAsia"/>
          <w:sz w:val="21"/>
          <w:szCs w:val="21"/>
          <w:lang w:eastAsia="ja"/>
        </w:rPr>
        <w:t>を</w:t>
      </w:r>
      <w:r w:rsidR="00A4691F">
        <w:rPr>
          <w:rFonts w:ascii="ＭＳ 明朝" w:eastAsia="ＭＳ 明朝" w:hAnsi="ＭＳ 明朝" w:hint="eastAsia"/>
          <w:sz w:val="21"/>
          <w:szCs w:val="21"/>
          <w:lang w:eastAsia="ja"/>
        </w:rPr>
        <w:t>重畳的に適用除外要件とすることも考えられる。</w:t>
      </w:r>
    </w:p>
    <w:p w:rsidR="004468BF" w:rsidRDefault="004468BF" w:rsidP="000152AA">
      <w:pPr>
        <w:rPr>
          <w:rFonts w:ascii="ＭＳ 明朝" w:eastAsia="ＭＳ 明朝" w:hAnsi="ＭＳ 明朝"/>
          <w:sz w:val="21"/>
          <w:szCs w:val="21"/>
          <w:lang w:eastAsia="ja"/>
        </w:rPr>
      </w:pPr>
    </w:p>
    <w:p w:rsidR="000152AA" w:rsidRDefault="000152AA" w:rsidP="004468BF">
      <w:pPr>
        <w:pStyle w:val="ac"/>
      </w:pPr>
      <w:r>
        <w:rPr>
          <w:rFonts w:hint="eastAsia"/>
        </w:rPr>
        <w:t>以上</w:t>
      </w:r>
    </w:p>
    <w:sectPr w:rsidR="000152AA" w:rsidSect="00B57211">
      <w:pgSz w:w="11906" w:h="16838" w:code="9"/>
      <w:pgMar w:top="1701" w:right="1418" w:bottom="1418"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D5" w:rsidRDefault="006D1FD5" w:rsidP="00936D3F">
      <w:r>
        <w:separator/>
      </w:r>
    </w:p>
  </w:endnote>
  <w:endnote w:type="continuationSeparator" w:id="0">
    <w:p w:rsidR="006D1FD5" w:rsidRDefault="006D1FD5" w:rsidP="0093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D5" w:rsidRDefault="006D1FD5" w:rsidP="00936D3F">
      <w:r>
        <w:separator/>
      </w:r>
    </w:p>
  </w:footnote>
  <w:footnote w:type="continuationSeparator" w:id="0">
    <w:p w:rsidR="006D1FD5" w:rsidRDefault="006D1FD5" w:rsidP="00936D3F">
      <w:r>
        <w:continuationSeparator/>
      </w:r>
    </w:p>
  </w:footnote>
  <w:footnote w:id="1">
    <w:p w:rsidR="00901559" w:rsidRDefault="00936D3F" w:rsidP="00936D3F">
      <w:pPr>
        <w:pStyle w:val="a4"/>
        <w:rPr>
          <w:rFonts w:ascii="ＭＳ 明朝" w:eastAsia="ＭＳ 明朝" w:hAnsi="ＭＳ 明朝"/>
          <w:sz w:val="18"/>
          <w:szCs w:val="18"/>
        </w:rPr>
      </w:pPr>
      <w:r>
        <w:rPr>
          <w:rStyle w:val="a6"/>
        </w:rPr>
        <w:footnoteRef/>
      </w:r>
      <w:r>
        <w:t xml:space="preserve"> </w:t>
      </w:r>
      <w:r w:rsidR="000C6BBC" w:rsidRPr="00901559">
        <w:rPr>
          <w:rFonts w:ascii="ＭＳ 明朝" w:eastAsia="ＭＳ 明朝" w:hAnsi="ＭＳ 明朝"/>
          <w:sz w:val="18"/>
          <w:szCs w:val="18"/>
        </w:rPr>
        <w:t>accredited investor</w:t>
      </w:r>
      <w:r w:rsidR="000C6BBC" w:rsidRPr="00901559">
        <w:rPr>
          <w:rFonts w:ascii="ＭＳ 明朝" w:eastAsia="ＭＳ 明朝" w:hAnsi="ＭＳ 明朝" w:hint="eastAsia"/>
          <w:sz w:val="18"/>
          <w:szCs w:val="18"/>
        </w:rPr>
        <w:t>のみを対象とする取得勧誘の場合など。</w:t>
      </w:r>
      <w:r w:rsidR="00901559" w:rsidRPr="00901559">
        <w:rPr>
          <w:rFonts w:ascii="ＭＳ 明朝" w:eastAsia="ＭＳ 明朝" w:hAnsi="ＭＳ 明朝" w:hint="eastAsia"/>
          <w:sz w:val="18"/>
          <w:szCs w:val="18"/>
        </w:rPr>
        <w:t>自然人の</w:t>
      </w:r>
      <w:r w:rsidR="00901559" w:rsidRPr="00901559">
        <w:rPr>
          <w:rFonts w:ascii="ＭＳ 明朝" w:eastAsia="ＭＳ 明朝" w:hAnsi="ＭＳ 明朝"/>
          <w:sz w:val="18"/>
          <w:szCs w:val="18"/>
        </w:rPr>
        <w:t>accredited investor</w:t>
      </w:r>
      <w:r w:rsidR="00901559">
        <w:rPr>
          <w:rFonts w:ascii="ＭＳ 明朝" w:eastAsia="ＭＳ 明朝" w:hAnsi="ＭＳ 明朝" w:hint="eastAsia"/>
          <w:sz w:val="18"/>
          <w:szCs w:val="18"/>
        </w:rPr>
        <w:t>の要件は、以下の①②のいずれかを満たすこと。</w:t>
      </w:r>
    </w:p>
    <w:p w:rsidR="00901559" w:rsidRDefault="00901559" w:rsidP="00936D3F">
      <w:pPr>
        <w:pStyle w:val="a4"/>
        <w:rPr>
          <w:rFonts w:ascii="ＭＳ 明朝" w:eastAsia="ＭＳ 明朝" w:hAnsi="ＭＳ 明朝"/>
          <w:sz w:val="18"/>
          <w:szCs w:val="18"/>
        </w:rPr>
      </w:pPr>
    </w:p>
    <w:p w:rsidR="00936D3F" w:rsidRPr="00901559" w:rsidRDefault="00936D3F" w:rsidP="00936D3F">
      <w:pPr>
        <w:pStyle w:val="a4"/>
        <w:rPr>
          <w:rFonts w:ascii="ＭＳ 明朝" w:eastAsia="ＭＳ 明朝" w:hAnsi="ＭＳ 明朝"/>
          <w:sz w:val="18"/>
          <w:szCs w:val="18"/>
        </w:rPr>
      </w:pPr>
      <w:r w:rsidRPr="00901559">
        <w:rPr>
          <w:rFonts w:ascii="ＭＳ 明朝" w:eastAsia="ＭＳ 明朝" w:hAnsi="ＭＳ 明朝" w:hint="eastAsia"/>
          <w:sz w:val="18"/>
          <w:szCs w:val="18"/>
        </w:rPr>
        <w:t>①individual net worthまたはjoint net worthが100万ドルを超えること (Rule 501(a)(5))。</w:t>
      </w:r>
    </w:p>
    <w:p w:rsidR="00936D3F" w:rsidRPr="00901559" w:rsidRDefault="00936D3F" w:rsidP="00936D3F">
      <w:pPr>
        <w:pStyle w:val="a4"/>
        <w:rPr>
          <w:rFonts w:ascii="ＭＳ 明朝" w:eastAsia="ＭＳ 明朝" w:hAnsi="ＭＳ 明朝"/>
          <w:sz w:val="18"/>
          <w:szCs w:val="18"/>
        </w:rPr>
      </w:pPr>
      <w:r w:rsidRPr="00901559">
        <w:rPr>
          <w:rFonts w:ascii="ＭＳ 明朝" w:eastAsia="ＭＳ 明朝" w:hAnsi="ＭＳ 明朝" w:hint="eastAsia"/>
          <w:sz w:val="18"/>
          <w:szCs w:val="18"/>
        </w:rPr>
        <w:t>※ここでjoint net worthは、配偶者との資産との合計を意味</w:t>
      </w:r>
      <w:r w:rsidR="00BF484E">
        <w:rPr>
          <w:rFonts w:ascii="ＭＳ 明朝" w:eastAsia="ＭＳ 明朝" w:hAnsi="ＭＳ 明朝" w:hint="eastAsia"/>
          <w:sz w:val="18"/>
          <w:szCs w:val="18"/>
        </w:rPr>
        <w:t>する</w:t>
      </w:r>
      <w:r w:rsidRPr="00901559">
        <w:rPr>
          <w:rFonts w:ascii="ＭＳ 明朝" w:eastAsia="ＭＳ 明朝" w:hAnsi="ＭＳ 明朝" w:hint="eastAsia"/>
          <w:sz w:val="18"/>
          <w:szCs w:val="18"/>
        </w:rPr>
        <w:t>（CDI Question 255.11）。</w:t>
      </w:r>
    </w:p>
    <w:p w:rsidR="00BF484E" w:rsidRPr="00901559" w:rsidRDefault="00BF484E" w:rsidP="00BF484E">
      <w:pPr>
        <w:pStyle w:val="a4"/>
        <w:rPr>
          <w:rFonts w:ascii="ＭＳ 明朝" w:eastAsia="ＭＳ 明朝" w:hAnsi="ＭＳ 明朝"/>
          <w:sz w:val="18"/>
          <w:szCs w:val="18"/>
        </w:rPr>
      </w:pPr>
      <w:r>
        <w:rPr>
          <w:rFonts w:ascii="ＭＳ 明朝" w:eastAsia="ＭＳ 明朝" w:hAnsi="ＭＳ 明朝" w:hint="eastAsia"/>
          <w:sz w:val="18"/>
          <w:szCs w:val="18"/>
        </w:rPr>
        <w:t>※</w:t>
      </w:r>
      <w:r w:rsidRPr="00901559">
        <w:rPr>
          <w:rFonts w:ascii="ＭＳ 明朝" w:eastAsia="ＭＳ 明朝" w:hAnsi="ＭＳ 明朝" w:hint="eastAsia"/>
          <w:sz w:val="18"/>
          <w:szCs w:val="18"/>
        </w:rPr>
        <w:t>CDIはSECが出しているQ&amp;A式の解釈指針</w:t>
      </w:r>
    </w:p>
    <w:p w:rsidR="00936D3F" w:rsidRDefault="006D1FD5" w:rsidP="00936D3F">
      <w:pPr>
        <w:pStyle w:val="a4"/>
        <w:rPr>
          <w:rFonts w:ascii="ＭＳ 明朝" w:eastAsia="ＭＳ 明朝" w:hAnsi="ＭＳ 明朝"/>
          <w:sz w:val="18"/>
          <w:szCs w:val="18"/>
        </w:rPr>
      </w:pPr>
      <w:hyperlink r:id="rId1" w:history="1">
        <w:r w:rsidR="00DE2270" w:rsidRPr="00693357">
          <w:rPr>
            <w:rStyle w:val="a7"/>
            <w:rFonts w:ascii="ＭＳ 明朝" w:eastAsia="ＭＳ 明朝" w:hAnsi="ＭＳ 明朝"/>
            <w:sz w:val="18"/>
            <w:szCs w:val="18"/>
          </w:rPr>
          <w:t>https://www.sec.gov/divisions/corpfin/guidance/securitiesactrules-interps.htm</w:t>
        </w:r>
      </w:hyperlink>
    </w:p>
    <w:p w:rsidR="00936D3F" w:rsidRPr="00901559" w:rsidRDefault="00936D3F" w:rsidP="00936D3F">
      <w:pPr>
        <w:pStyle w:val="a4"/>
        <w:rPr>
          <w:rFonts w:ascii="ＭＳ 明朝" w:eastAsia="ＭＳ 明朝" w:hAnsi="ＭＳ 明朝"/>
          <w:sz w:val="18"/>
          <w:szCs w:val="18"/>
        </w:rPr>
      </w:pPr>
    </w:p>
    <w:p w:rsidR="00936D3F" w:rsidRPr="00901559" w:rsidRDefault="00936D3F" w:rsidP="00936D3F">
      <w:pPr>
        <w:pStyle w:val="a4"/>
        <w:rPr>
          <w:rFonts w:ascii="ＭＳ 明朝" w:eastAsia="ＭＳ 明朝" w:hAnsi="ＭＳ 明朝"/>
          <w:sz w:val="18"/>
          <w:szCs w:val="18"/>
        </w:rPr>
      </w:pPr>
      <w:r w:rsidRPr="00901559">
        <w:rPr>
          <w:rFonts w:ascii="ＭＳ 明朝" w:eastAsia="ＭＳ 明朝" w:hAnsi="ＭＳ 明朝" w:hint="eastAsia"/>
          <w:sz w:val="18"/>
          <w:szCs w:val="18"/>
        </w:rPr>
        <w:t>②直近2年間の年収がそれぞれ20万ドル（配偶者とのjoint incomeの場合は30万ドル）を超えており、今年度も同様の収入レベルに到達することが合理的に予想されること（three-year period rule）(Rule 506(a)(6))。</w:t>
      </w:r>
    </w:p>
    <w:p w:rsidR="00936D3F" w:rsidRDefault="00936D3F" w:rsidP="00936D3F">
      <w:pPr>
        <w:pStyle w:val="a4"/>
        <w:rPr>
          <w:rFonts w:ascii="ＭＳ 明朝" w:eastAsia="ＭＳ 明朝" w:hAnsi="ＭＳ 明朝"/>
          <w:sz w:val="18"/>
          <w:szCs w:val="18"/>
        </w:rPr>
      </w:pPr>
      <w:r w:rsidRPr="00901559">
        <w:rPr>
          <w:rFonts w:ascii="ＭＳ 明朝" w:eastAsia="ＭＳ 明朝" w:hAnsi="ＭＳ 明朝" w:hint="eastAsia"/>
          <w:sz w:val="18"/>
          <w:szCs w:val="18"/>
        </w:rPr>
        <w:t>※なお、婚姻関係の変更が3年間のうちにない場合は、individual incomeまたはjoint incomeどちらかのみで3年間達成する必要があ</w:t>
      </w:r>
      <w:r w:rsidR="00BF484E">
        <w:rPr>
          <w:rFonts w:ascii="ＭＳ 明朝" w:eastAsia="ＭＳ 明朝" w:hAnsi="ＭＳ 明朝" w:hint="eastAsia"/>
          <w:sz w:val="18"/>
          <w:szCs w:val="18"/>
        </w:rPr>
        <w:t>る</w:t>
      </w:r>
      <w:r w:rsidRPr="00901559">
        <w:rPr>
          <w:rFonts w:ascii="ＭＳ 明朝" w:eastAsia="ＭＳ 明朝" w:hAnsi="ＭＳ 明朝" w:hint="eastAsia"/>
          <w:sz w:val="18"/>
          <w:szCs w:val="18"/>
        </w:rPr>
        <w:t>（CDI Question 255.15）。</w:t>
      </w:r>
    </w:p>
    <w:p w:rsidR="001D73A0" w:rsidRPr="00901559" w:rsidRDefault="001D73A0" w:rsidP="00936D3F">
      <w:pPr>
        <w:pStyle w:val="a4"/>
        <w:rPr>
          <w:rFonts w:ascii="ＭＳ 明朝" w:eastAsia="ＭＳ 明朝" w:hAnsi="ＭＳ 明朝"/>
          <w:sz w:val="18"/>
          <w:szCs w:val="18"/>
        </w:rPr>
      </w:pPr>
    </w:p>
  </w:footnote>
  <w:footnote w:id="2">
    <w:p w:rsidR="00901B0D" w:rsidRPr="00FF2587" w:rsidRDefault="00901B0D">
      <w:pPr>
        <w:pStyle w:val="a4"/>
        <w:rPr>
          <w:rFonts w:ascii="ＭＳ 明朝" w:eastAsia="ＭＳ 明朝" w:hAnsi="ＭＳ 明朝"/>
          <w:sz w:val="18"/>
          <w:szCs w:val="18"/>
        </w:rPr>
      </w:pPr>
      <w:r>
        <w:rPr>
          <w:rStyle w:val="a6"/>
        </w:rPr>
        <w:footnoteRef/>
      </w:r>
      <w:r>
        <w:t xml:space="preserve"> </w:t>
      </w:r>
      <w:r w:rsidR="00DE2270" w:rsidRPr="00FF2587">
        <w:rPr>
          <w:rFonts w:ascii="ＭＳ 明朝" w:eastAsia="ＭＳ 明朝" w:hAnsi="ＭＳ 明朝" w:hint="eastAsia"/>
          <w:sz w:val="18"/>
          <w:szCs w:val="18"/>
        </w:rPr>
        <w:t>TurnKey Jet Incが</w:t>
      </w:r>
      <w:r w:rsidR="00FF2587">
        <w:rPr>
          <w:rFonts w:ascii="ＭＳ 明朝" w:eastAsia="ＭＳ 明朝" w:hAnsi="ＭＳ 明朝" w:hint="eastAsia"/>
          <w:sz w:val="18"/>
          <w:szCs w:val="18"/>
        </w:rPr>
        <w:t>発行する</w:t>
      </w:r>
      <w:r w:rsidR="00DE2270" w:rsidRPr="00FF2587">
        <w:rPr>
          <w:rFonts w:ascii="ＭＳ 明朝" w:eastAsia="ＭＳ 明朝" w:hAnsi="ＭＳ 明朝" w:hint="eastAsia"/>
          <w:sz w:val="18"/>
          <w:szCs w:val="18"/>
        </w:rPr>
        <w:t>トークン</w:t>
      </w:r>
      <w:r w:rsidR="00FF2587">
        <w:rPr>
          <w:rFonts w:ascii="ＭＳ 明朝" w:eastAsia="ＭＳ 明朝" w:hAnsi="ＭＳ 明朝" w:hint="eastAsia"/>
          <w:sz w:val="18"/>
          <w:szCs w:val="18"/>
        </w:rPr>
        <w:t>について</w:t>
      </w:r>
      <w:r w:rsidR="00DE2270" w:rsidRPr="00FF2587">
        <w:rPr>
          <w:rFonts w:ascii="ＭＳ 明朝" w:eastAsia="ＭＳ 明朝" w:hAnsi="ＭＳ 明朝" w:hint="eastAsia"/>
          <w:sz w:val="18"/>
          <w:szCs w:val="18"/>
        </w:rPr>
        <w:t>証券法対象外である旨を</w:t>
      </w:r>
      <w:r w:rsidR="008E0029">
        <w:rPr>
          <w:rFonts w:ascii="ＭＳ 明朝" w:eastAsia="ＭＳ 明朝" w:hAnsi="ＭＳ 明朝" w:hint="eastAsia"/>
          <w:sz w:val="18"/>
          <w:szCs w:val="18"/>
        </w:rPr>
        <w:t>公表した</w:t>
      </w:r>
      <w:r w:rsidR="008E0029" w:rsidRPr="00FF2587">
        <w:rPr>
          <w:rFonts w:ascii="ＭＳ 明朝" w:eastAsia="ＭＳ 明朝" w:hAnsi="ＭＳ 明朝" w:hint="eastAsia"/>
          <w:sz w:val="18"/>
          <w:szCs w:val="18"/>
        </w:rPr>
        <w:t>SECのDivision of corporate finance</w:t>
      </w:r>
      <w:r w:rsidR="001D73A0" w:rsidRPr="00FF2587">
        <w:rPr>
          <w:rFonts w:ascii="ＭＳ 明朝" w:eastAsia="ＭＳ 明朝" w:hAnsi="ＭＳ 明朝" w:hint="eastAsia"/>
          <w:sz w:val="18"/>
          <w:szCs w:val="18"/>
        </w:rPr>
        <w:t>のノーアクションレター</w:t>
      </w:r>
      <w:r w:rsidR="008E0029">
        <w:rPr>
          <w:rFonts w:ascii="ＭＳ 明朝" w:eastAsia="ＭＳ 明朝" w:hAnsi="ＭＳ 明朝" w:hint="eastAsia"/>
          <w:sz w:val="18"/>
          <w:szCs w:val="18"/>
        </w:rPr>
        <w:t>で挙げられている判断要素のうち、「</w:t>
      </w:r>
      <w:r w:rsidR="00D75102" w:rsidRPr="00FF2587">
        <w:rPr>
          <w:rFonts w:ascii="ＭＳ 明朝" w:eastAsia="ＭＳ 明朝" w:hAnsi="ＭＳ 明朝" w:hint="eastAsia"/>
          <w:sz w:val="18"/>
          <w:szCs w:val="18"/>
        </w:rPr>
        <w:t>TurnKey Jet Inc</w:t>
      </w:r>
      <w:r w:rsidR="008E0029" w:rsidRPr="008E0029">
        <w:rPr>
          <w:rFonts w:ascii="ＭＳ 明朝" w:eastAsia="ＭＳ 明朝" w:hAnsi="ＭＳ 明朝" w:hint="eastAsia"/>
          <w:sz w:val="18"/>
          <w:szCs w:val="18"/>
        </w:rPr>
        <w:t>が発行するウォレット以外への譲渡を制限している</w:t>
      </w:r>
      <w:r w:rsidR="008E0029">
        <w:rPr>
          <w:rFonts w:ascii="ＭＳ 明朝" w:eastAsia="ＭＳ 明朝" w:hAnsi="ＭＳ 明朝" w:hint="eastAsia"/>
          <w:sz w:val="18"/>
          <w:szCs w:val="18"/>
        </w:rPr>
        <w:t>こと」</w:t>
      </w:r>
      <w:r w:rsidR="00D75102">
        <w:rPr>
          <w:rFonts w:ascii="ＭＳ 明朝" w:eastAsia="ＭＳ 明朝" w:hAnsi="ＭＳ 明朝" w:hint="eastAsia"/>
          <w:sz w:val="18"/>
          <w:szCs w:val="18"/>
        </w:rPr>
        <w:t>という点に着目した案。</w:t>
      </w:r>
    </w:p>
    <w:p w:rsidR="00DE2270" w:rsidRPr="001D73A0" w:rsidRDefault="006D1FD5">
      <w:pPr>
        <w:pStyle w:val="a4"/>
        <w:rPr>
          <w:rFonts w:ascii="ＭＳ 明朝" w:eastAsia="ＭＳ 明朝" w:hAnsi="ＭＳ 明朝"/>
          <w:sz w:val="18"/>
          <w:szCs w:val="18"/>
          <w:lang w:eastAsia="ja"/>
        </w:rPr>
      </w:pPr>
      <w:hyperlink r:id="rId2" w:history="1">
        <w:r w:rsidR="00DE2270" w:rsidRPr="00FF2587">
          <w:rPr>
            <w:rStyle w:val="a7"/>
            <w:rFonts w:ascii="ＭＳ 明朝" w:eastAsia="ＭＳ 明朝" w:hAnsi="ＭＳ 明朝"/>
            <w:sz w:val="18"/>
            <w:szCs w:val="18"/>
          </w:rPr>
          <w:t>https://www.sec.gov/divisions/corpfin/cf-noaction/2019/turnkey-jet-040219-2a1.html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3C3"/>
    <w:multiLevelType w:val="hybridMultilevel"/>
    <w:tmpl w:val="60F4CEF4"/>
    <w:lvl w:ilvl="0" w:tplc="23C45F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A15E0"/>
    <w:multiLevelType w:val="hybridMultilevel"/>
    <w:tmpl w:val="0C4ADFE4"/>
    <w:lvl w:ilvl="0" w:tplc="7668D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B06789"/>
    <w:multiLevelType w:val="multilevel"/>
    <w:tmpl w:val="9468F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6072BA"/>
    <w:multiLevelType w:val="multilevel"/>
    <w:tmpl w:val="38325D58"/>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24"/>
    <w:rsid w:val="000152AA"/>
    <w:rsid w:val="00050B61"/>
    <w:rsid w:val="000A6BA2"/>
    <w:rsid w:val="000C6BBC"/>
    <w:rsid w:val="0015227A"/>
    <w:rsid w:val="0017311D"/>
    <w:rsid w:val="00173608"/>
    <w:rsid w:val="001747FA"/>
    <w:rsid w:val="00186CCA"/>
    <w:rsid w:val="001D73A0"/>
    <w:rsid w:val="00241F54"/>
    <w:rsid w:val="003C5577"/>
    <w:rsid w:val="003E11C0"/>
    <w:rsid w:val="003E5B9F"/>
    <w:rsid w:val="004468BF"/>
    <w:rsid w:val="00453384"/>
    <w:rsid w:val="00484E85"/>
    <w:rsid w:val="004B18B2"/>
    <w:rsid w:val="00561752"/>
    <w:rsid w:val="0057222B"/>
    <w:rsid w:val="005D09AD"/>
    <w:rsid w:val="005E1D21"/>
    <w:rsid w:val="00687F69"/>
    <w:rsid w:val="006D1FD5"/>
    <w:rsid w:val="00777500"/>
    <w:rsid w:val="007A33BA"/>
    <w:rsid w:val="00820A1A"/>
    <w:rsid w:val="00831531"/>
    <w:rsid w:val="008B5724"/>
    <w:rsid w:val="008E0029"/>
    <w:rsid w:val="00901559"/>
    <w:rsid w:val="00901B0D"/>
    <w:rsid w:val="0092640F"/>
    <w:rsid w:val="00930EF3"/>
    <w:rsid w:val="00936D3F"/>
    <w:rsid w:val="00951087"/>
    <w:rsid w:val="009615B6"/>
    <w:rsid w:val="00962BC0"/>
    <w:rsid w:val="00A4691F"/>
    <w:rsid w:val="00B57211"/>
    <w:rsid w:val="00B66CDF"/>
    <w:rsid w:val="00BC7894"/>
    <w:rsid w:val="00BF484E"/>
    <w:rsid w:val="00BF58E1"/>
    <w:rsid w:val="00C85299"/>
    <w:rsid w:val="00CC0375"/>
    <w:rsid w:val="00CD1EA7"/>
    <w:rsid w:val="00D17992"/>
    <w:rsid w:val="00D430D3"/>
    <w:rsid w:val="00D75102"/>
    <w:rsid w:val="00DA3AA9"/>
    <w:rsid w:val="00DE2270"/>
    <w:rsid w:val="00E635E5"/>
    <w:rsid w:val="00E96755"/>
    <w:rsid w:val="00F900C5"/>
    <w:rsid w:val="00FF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6C9D9"/>
  <w15:docId w15:val="{7F347114-34EA-46CA-993E-D868F09E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724"/>
    <w:rPr>
      <w:rFonts w:ascii="Century" w:hAnsi="Century" w:cs="Century"/>
      <w:kern w:val="0"/>
      <w:sz w:val="20"/>
      <w:szCs w:val="20"/>
      <w:lang w:val="j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CDF"/>
    <w:pPr>
      <w:ind w:leftChars="400" w:left="840"/>
    </w:pPr>
  </w:style>
  <w:style w:type="paragraph" w:styleId="a4">
    <w:name w:val="footnote text"/>
    <w:basedOn w:val="a"/>
    <w:link w:val="a5"/>
    <w:uiPriority w:val="99"/>
    <w:semiHidden/>
    <w:unhideWhenUsed/>
    <w:rsid w:val="00936D3F"/>
    <w:pPr>
      <w:snapToGrid w:val="0"/>
    </w:pPr>
  </w:style>
  <w:style w:type="character" w:customStyle="1" w:styleId="a5">
    <w:name w:val="脚注文字列 (文字)"/>
    <w:basedOn w:val="a0"/>
    <w:link w:val="a4"/>
    <w:uiPriority w:val="99"/>
    <w:semiHidden/>
    <w:rsid w:val="00936D3F"/>
    <w:rPr>
      <w:rFonts w:ascii="Century" w:hAnsi="Century" w:cs="Century"/>
      <w:kern w:val="0"/>
      <w:sz w:val="20"/>
      <w:szCs w:val="20"/>
      <w:lang w:val="ja"/>
    </w:rPr>
  </w:style>
  <w:style w:type="character" w:styleId="a6">
    <w:name w:val="footnote reference"/>
    <w:basedOn w:val="a0"/>
    <w:uiPriority w:val="99"/>
    <w:semiHidden/>
    <w:unhideWhenUsed/>
    <w:rsid w:val="00936D3F"/>
    <w:rPr>
      <w:vertAlign w:val="superscript"/>
    </w:rPr>
  </w:style>
  <w:style w:type="character" w:styleId="a7">
    <w:name w:val="Hyperlink"/>
    <w:basedOn w:val="a0"/>
    <w:uiPriority w:val="99"/>
    <w:unhideWhenUsed/>
    <w:rsid w:val="00DE2270"/>
    <w:rPr>
      <w:color w:val="0563C1" w:themeColor="hyperlink"/>
      <w:u w:val="single"/>
    </w:rPr>
  </w:style>
  <w:style w:type="character" w:customStyle="1" w:styleId="1">
    <w:name w:val="未解決のメンション1"/>
    <w:basedOn w:val="a0"/>
    <w:uiPriority w:val="99"/>
    <w:semiHidden/>
    <w:unhideWhenUsed/>
    <w:rsid w:val="00DE2270"/>
    <w:rPr>
      <w:color w:val="605E5C"/>
      <w:shd w:val="clear" w:color="auto" w:fill="E1DFDD"/>
    </w:rPr>
  </w:style>
  <w:style w:type="paragraph" w:styleId="a8">
    <w:name w:val="header"/>
    <w:basedOn w:val="a"/>
    <w:link w:val="a9"/>
    <w:uiPriority w:val="99"/>
    <w:unhideWhenUsed/>
    <w:rsid w:val="00C85299"/>
    <w:pPr>
      <w:tabs>
        <w:tab w:val="center" w:pos="4252"/>
        <w:tab w:val="right" w:pos="8504"/>
      </w:tabs>
      <w:snapToGrid w:val="0"/>
    </w:pPr>
  </w:style>
  <w:style w:type="character" w:customStyle="1" w:styleId="a9">
    <w:name w:val="ヘッダー (文字)"/>
    <w:basedOn w:val="a0"/>
    <w:link w:val="a8"/>
    <w:uiPriority w:val="99"/>
    <w:rsid w:val="00C85299"/>
    <w:rPr>
      <w:rFonts w:ascii="Century" w:hAnsi="Century" w:cs="Century"/>
      <w:kern w:val="0"/>
      <w:sz w:val="20"/>
      <w:szCs w:val="20"/>
      <w:lang w:val="ja"/>
    </w:rPr>
  </w:style>
  <w:style w:type="paragraph" w:styleId="aa">
    <w:name w:val="footer"/>
    <w:basedOn w:val="a"/>
    <w:link w:val="ab"/>
    <w:uiPriority w:val="99"/>
    <w:unhideWhenUsed/>
    <w:rsid w:val="00C85299"/>
    <w:pPr>
      <w:tabs>
        <w:tab w:val="center" w:pos="4252"/>
        <w:tab w:val="right" w:pos="8504"/>
      </w:tabs>
      <w:snapToGrid w:val="0"/>
    </w:pPr>
  </w:style>
  <w:style w:type="character" w:customStyle="1" w:styleId="ab">
    <w:name w:val="フッター (文字)"/>
    <w:basedOn w:val="a0"/>
    <w:link w:val="aa"/>
    <w:uiPriority w:val="99"/>
    <w:rsid w:val="00C85299"/>
    <w:rPr>
      <w:rFonts w:ascii="Century" w:hAnsi="Century" w:cs="Century"/>
      <w:kern w:val="0"/>
      <w:sz w:val="20"/>
      <w:szCs w:val="20"/>
      <w:lang w:val="ja"/>
    </w:rPr>
  </w:style>
  <w:style w:type="paragraph" w:styleId="ac">
    <w:name w:val="Closing"/>
    <w:basedOn w:val="a"/>
    <w:link w:val="ad"/>
    <w:uiPriority w:val="99"/>
    <w:unhideWhenUsed/>
    <w:rsid w:val="004468BF"/>
    <w:pPr>
      <w:jc w:val="right"/>
    </w:pPr>
    <w:rPr>
      <w:rFonts w:ascii="ＭＳ 明朝" w:eastAsia="ＭＳ 明朝" w:hAnsi="ＭＳ 明朝"/>
      <w:sz w:val="21"/>
      <w:szCs w:val="21"/>
      <w:lang w:eastAsia="ja"/>
    </w:rPr>
  </w:style>
  <w:style w:type="character" w:customStyle="1" w:styleId="ad">
    <w:name w:val="結語 (文字)"/>
    <w:basedOn w:val="a0"/>
    <w:link w:val="ac"/>
    <w:uiPriority w:val="99"/>
    <w:rsid w:val="004468BF"/>
    <w:rPr>
      <w:rFonts w:ascii="ＭＳ 明朝" w:eastAsia="ＭＳ 明朝" w:hAnsi="ＭＳ 明朝" w:cs="Century"/>
      <w:kern w:val="0"/>
      <w:szCs w:val="21"/>
      <w:lang w:val="ja" w:eastAsia="ja"/>
    </w:rPr>
  </w:style>
  <w:style w:type="paragraph" w:styleId="ae">
    <w:name w:val="Balloon Text"/>
    <w:basedOn w:val="a"/>
    <w:link w:val="af"/>
    <w:uiPriority w:val="99"/>
    <w:semiHidden/>
    <w:unhideWhenUsed/>
    <w:rsid w:val="004468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68BF"/>
    <w:rPr>
      <w:rFonts w:asciiTheme="majorHAnsi" w:eastAsiaTheme="majorEastAsia" w:hAnsiTheme="majorHAnsi" w:cstheme="majorBidi"/>
      <w:kern w:val="0"/>
      <w:sz w:val="18"/>
      <w:szCs w:val="18"/>
      <w:lang w:val="ja"/>
    </w:rPr>
  </w:style>
  <w:style w:type="character" w:styleId="af0">
    <w:name w:val="annotation reference"/>
    <w:basedOn w:val="a0"/>
    <w:uiPriority w:val="99"/>
    <w:semiHidden/>
    <w:unhideWhenUsed/>
    <w:rsid w:val="004468BF"/>
    <w:rPr>
      <w:sz w:val="18"/>
      <w:szCs w:val="18"/>
    </w:rPr>
  </w:style>
  <w:style w:type="paragraph" w:styleId="af1">
    <w:name w:val="annotation text"/>
    <w:basedOn w:val="a"/>
    <w:link w:val="af2"/>
    <w:uiPriority w:val="99"/>
    <w:semiHidden/>
    <w:unhideWhenUsed/>
    <w:rsid w:val="004468BF"/>
  </w:style>
  <w:style w:type="character" w:customStyle="1" w:styleId="af2">
    <w:name w:val="コメント文字列 (文字)"/>
    <w:basedOn w:val="a0"/>
    <w:link w:val="af1"/>
    <w:uiPriority w:val="99"/>
    <w:semiHidden/>
    <w:rsid w:val="004468BF"/>
    <w:rPr>
      <w:rFonts w:ascii="Century" w:hAnsi="Century" w:cs="Century"/>
      <w:kern w:val="0"/>
      <w:sz w:val="20"/>
      <w:szCs w:val="20"/>
      <w:lang w:val="ja"/>
    </w:rPr>
  </w:style>
  <w:style w:type="paragraph" w:styleId="af3">
    <w:name w:val="annotation subject"/>
    <w:basedOn w:val="af1"/>
    <w:next w:val="af1"/>
    <w:link w:val="af4"/>
    <w:uiPriority w:val="99"/>
    <w:semiHidden/>
    <w:unhideWhenUsed/>
    <w:rsid w:val="004468BF"/>
    <w:rPr>
      <w:b/>
      <w:bCs/>
    </w:rPr>
  </w:style>
  <w:style w:type="character" w:customStyle="1" w:styleId="af4">
    <w:name w:val="コメント内容 (文字)"/>
    <w:basedOn w:val="af2"/>
    <w:link w:val="af3"/>
    <w:uiPriority w:val="99"/>
    <w:semiHidden/>
    <w:rsid w:val="004468BF"/>
    <w:rPr>
      <w:rFonts w:ascii="Century" w:hAnsi="Century" w:cs="Century"/>
      <w:b/>
      <w:bCs/>
      <w:kern w:val="0"/>
      <w:sz w:val="20"/>
      <w:szCs w:val="20"/>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ec.gov/divisions/corpfin/cf-noaction/2019/turnkey-jet-040219-2a1.html" TargetMode="External"/><Relationship Id="rId1" Type="http://schemas.openxmlformats.org/officeDocument/2006/relationships/hyperlink" Target="https://www.sec.gov/divisions/corpfin/guidance/securitiesactrules-interps.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4BDB9-FF3E-4436-B356-6F3DF733B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Anderson Mori &amp; Tomotsune</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TMI</cp:lastModifiedBy>
  <cp:revision>2</cp:revision>
  <dcterms:created xsi:type="dcterms:W3CDTF">2019-08-14T06:58:00Z</dcterms:created>
  <dcterms:modified xsi:type="dcterms:W3CDTF">2019-08-14T06:58:00Z</dcterms:modified>
</cp:coreProperties>
</file>